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2F" w:rsidRPr="0069401B" w:rsidRDefault="0069401B" w:rsidP="0069401B">
      <w:pPr>
        <w:pStyle w:val="Prrafodelista"/>
        <w:numPr>
          <w:ilvl w:val="0"/>
          <w:numId w:val="7"/>
        </w:num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CÁLCULO DE LUMINOTECNICA</w:t>
      </w:r>
    </w:p>
    <w:p w:rsidR="00344788" w:rsidRDefault="00344788" w:rsidP="00344788">
      <w:pPr>
        <w:jc w:val="both"/>
        <w:rPr>
          <w:sz w:val="28"/>
          <w:szCs w:val="28"/>
        </w:rPr>
      </w:pPr>
    </w:p>
    <w:p w:rsidR="00E43E58" w:rsidRDefault="00E43E58" w:rsidP="0069401B">
      <w:pPr>
        <w:spacing w:after="78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 una buena iluminación podemos conseguir que el lugar de trabajo se convierta en algo más que un simple lugar de trabajo. </w:t>
      </w:r>
    </w:p>
    <w:p w:rsidR="00E43E58" w:rsidRPr="00E43E58" w:rsidRDefault="00E43E58" w:rsidP="00E43E58">
      <w:pPr>
        <w:spacing w:after="78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Para realizar el proceso de cálculo de iluminación general en instalaciones interiores, puedes utilizar dos métodos: método de los lúmenes o método del punto por punto.</w:t>
      </w:r>
    </w:p>
    <w:p w:rsidR="000A74B9" w:rsidRDefault="00DF0883" w:rsidP="0069401B">
      <w:pPr>
        <w:spacing w:after="78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Usando el método de lúmenes, l</w:t>
      </w:r>
      <w:r w:rsidR="0069401B">
        <w:rPr>
          <w:sz w:val="24"/>
          <w:szCs w:val="24"/>
        </w:rPr>
        <w:t>levamos a cabo los siguientes pasos para determinar el sistema de iluminación del sector destinado a la fabr</w:t>
      </w:r>
      <w:r>
        <w:rPr>
          <w:sz w:val="24"/>
          <w:szCs w:val="24"/>
        </w:rPr>
        <w:t>icación de cilindros neumáticos</w:t>
      </w:r>
    </w:p>
    <w:p w:rsidR="00DF0883" w:rsidRDefault="00DF0883" w:rsidP="0069401B">
      <w:pPr>
        <w:spacing w:after="78" w:line="240" w:lineRule="auto"/>
        <w:ind w:firstLine="708"/>
        <w:jc w:val="both"/>
        <w:rPr>
          <w:sz w:val="24"/>
          <w:szCs w:val="24"/>
        </w:rPr>
      </w:pPr>
    </w:p>
    <w:p w:rsidR="0069401B" w:rsidRPr="0069401B" w:rsidRDefault="0069401B" w:rsidP="0069401B">
      <w:pPr>
        <w:spacing w:after="78" w:line="240" w:lineRule="auto"/>
        <w:jc w:val="both"/>
        <w:rPr>
          <w:b/>
          <w:sz w:val="24"/>
          <w:szCs w:val="24"/>
        </w:rPr>
      </w:pPr>
      <w:r w:rsidRPr="0069401B">
        <w:rPr>
          <w:b/>
          <w:sz w:val="24"/>
          <w:szCs w:val="24"/>
        </w:rPr>
        <w:t>4.1. DATOS</w:t>
      </w:r>
    </w:p>
    <w:p w:rsidR="0069401B" w:rsidRDefault="00DF0883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4.1.1. DIMENSIONES DEL SECTOR</w:t>
      </w:r>
    </w:p>
    <w:p w:rsidR="0069401B" w:rsidRDefault="0069401B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Altura: </w:t>
      </w:r>
      <w:r>
        <w:rPr>
          <w:sz w:val="24"/>
          <w:szCs w:val="24"/>
        </w:rPr>
        <w:tab/>
        <w:t>c = 7 m</w:t>
      </w:r>
    </w:p>
    <w:p w:rsidR="0069401B" w:rsidRDefault="0069401B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Ancho:</w:t>
      </w:r>
      <w:r>
        <w:rPr>
          <w:sz w:val="24"/>
          <w:szCs w:val="24"/>
        </w:rPr>
        <w:tab/>
        <w:t>a = 20 m</w:t>
      </w:r>
    </w:p>
    <w:p w:rsidR="0069401B" w:rsidRDefault="0069401B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Largo:</w:t>
      </w:r>
      <w:r>
        <w:rPr>
          <w:sz w:val="24"/>
          <w:szCs w:val="24"/>
        </w:rPr>
        <w:tab/>
        <w:t xml:space="preserve">b = </w:t>
      </w:r>
      <w:r w:rsidR="00887EEC">
        <w:rPr>
          <w:sz w:val="24"/>
          <w:szCs w:val="24"/>
        </w:rPr>
        <w:t>29 m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Superficie</w:t>
      </w:r>
      <w:r>
        <w:rPr>
          <w:sz w:val="24"/>
          <w:szCs w:val="24"/>
        </w:rPr>
        <w:tab/>
        <w:t>S = 20 x 29 = 580 m</w:t>
      </w:r>
      <w:r w:rsidRPr="00887EEC">
        <w:rPr>
          <w:sz w:val="24"/>
          <w:szCs w:val="24"/>
          <w:vertAlign w:val="superscript"/>
        </w:rPr>
        <w:t>2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4.1.2. COLORES</w:t>
      </w:r>
      <w:r w:rsidR="00CA4212">
        <w:rPr>
          <w:sz w:val="24"/>
          <w:szCs w:val="24"/>
        </w:rPr>
        <w:t xml:space="preserve"> y FACTORES DE REFLEXIÓN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Techo: </w:t>
      </w:r>
      <w:r>
        <w:rPr>
          <w:sz w:val="24"/>
          <w:szCs w:val="24"/>
        </w:rPr>
        <w:tab/>
        <w:t>blanco</w:t>
      </w:r>
      <w:r w:rsidR="00CA4212">
        <w:rPr>
          <w:sz w:val="24"/>
          <w:szCs w:val="24"/>
        </w:rPr>
        <w:tab/>
      </w:r>
      <w:r w:rsidR="00CA4212">
        <w:rPr>
          <w:sz w:val="24"/>
          <w:szCs w:val="24"/>
        </w:rPr>
        <w:tab/>
        <w:t>0,80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Paredes:</w:t>
      </w:r>
      <w:r>
        <w:rPr>
          <w:sz w:val="24"/>
          <w:szCs w:val="24"/>
        </w:rPr>
        <w:tab/>
        <w:t>blanco</w:t>
      </w:r>
      <w:r w:rsidR="00CA4212">
        <w:rPr>
          <w:sz w:val="24"/>
          <w:szCs w:val="24"/>
        </w:rPr>
        <w:tab/>
      </w:r>
      <w:r w:rsidR="00CA4212">
        <w:rPr>
          <w:sz w:val="24"/>
          <w:szCs w:val="24"/>
        </w:rPr>
        <w:tab/>
        <w:t>0,80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Piso: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gris claro</w:t>
      </w:r>
      <w:r w:rsidR="00CA4212">
        <w:rPr>
          <w:sz w:val="24"/>
          <w:szCs w:val="24"/>
        </w:rPr>
        <w:tab/>
        <w:t>0,30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4.1.3. ACTIVIDAD A DESARROLLAR EN EL LOCAL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Fabricación de cilindros neumáticos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4.1.4. PLANO DE TRABAJO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Se toma como 0,90 m lo que corresponde a la altura sobre el nivel del piso que tiene una máquina herramienta como el torno.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</w:p>
    <w:p w:rsidR="00887EEC" w:rsidRPr="00887EEC" w:rsidRDefault="00887EEC" w:rsidP="0069401B">
      <w:pPr>
        <w:spacing w:after="78" w:line="240" w:lineRule="auto"/>
        <w:jc w:val="both"/>
        <w:rPr>
          <w:b/>
          <w:sz w:val="24"/>
          <w:szCs w:val="24"/>
        </w:rPr>
      </w:pPr>
      <w:r w:rsidRPr="00887EEC">
        <w:rPr>
          <w:b/>
          <w:sz w:val="24"/>
          <w:szCs w:val="24"/>
        </w:rPr>
        <w:t>4.2. EXIGENCIAS</w:t>
      </w:r>
    </w:p>
    <w:p w:rsidR="00887EEC" w:rsidRDefault="00887EEC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De acuerdo a la ley de Higiene y Seguridad en el Trabajo (19587) en su Anexo 4, Tabla Nº 2 podemos ver </w:t>
      </w:r>
      <w:r w:rsidR="005E0B1B">
        <w:rPr>
          <w:sz w:val="24"/>
          <w:szCs w:val="24"/>
        </w:rPr>
        <w:t xml:space="preserve">que para este tipo de actividad, el valor mínimo de iluminación para el local de elaboración es de </w:t>
      </w:r>
      <w:r w:rsidR="007416B6">
        <w:rPr>
          <w:sz w:val="24"/>
          <w:szCs w:val="24"/>
        </w:rPr>
        <w:t>3</w:t>
      </w:r>
      <w:r w:rsidR="005E0B1B">
        <w:rPr>
          <w:sz w:val="24"/>
          <w:szCs w:val="24"/>
        </w:rPr>
        <w:t>00 lux.</w:t>
      </w:r>
      <w:r w:rsidR="007416B6">
        <w:rPr>
          <w:sz w:val="24"/>
          <w:szCs w:val="24"/>
        </w:rPr>
        <w:t xml:space="preserve"> Como este valor tabulado es mínimo, podemos mejorar el nivel de iluminancia de 350 lux para mejorar las condiciones.</w:t>
      </w:r>
    </w:p>
    <w:p w:rsidR="005B4B46" w:rsidRDefault="005B4B46" w:rsidP="0069401B">
      <w:pPr>
        <w:spacing w:after="78" w:line="240" w:lineRule="auto"/>
        <w:jc w:val="both"/>
        <w:rPr>
          <w:sz w:val="24"/>
          <w:szCs w:val="24"/>
        </w:rPr>
      </w:pPr>
    </w:p>
    <w:p w:rsidR="005B4B46" w:rsidRPr="005E2C02" w:rsidRDefault="005B4B46" w:rsidP="0069401B">
      <w:pPr>
        <w:spacing w:after="78" w:line="240" w:lineRule="auto"/>
        <w:jc w:val="both"/>
        <w:rPr>
          <w:b/>
          <w:sz w:val="24"/>
          <w:szCs w:val="24"/>
        </w:rPr>
      </w:pPr>
      <w:r w:rsidRPr="005E2C02">
        <w:rPr>
          <w:b/>
          <w:sz w:val="24"/>
          <w:szCs w:val="24"/>
        </w:rPr>
        <w:t>4.3. RESOLUCIÓN</w:t>
      </w:r>
    </w:p>
    <w:p w:rsidR="005B4B46" w:rsidRDefault="005B4B46" w:rsidP="0069401B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4.3.1. </w:t>
      </w:r>
      <w:r w:rsidR="005E2C02">
        <w:rPr>
          <w:sz w:val="24"/>
          <w:szCs w:val="24"/>
        </w:rPr>
        <w:t>Factores de reflexión</w:t>
      </w:r>
    </w:p>
    <w:p w:rsidR="00DF0883" w:rsidRDefault="005E2C02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4.3.1.1. De acuerdo a los colores de los pisos, paredes y techos se adoptan los valores para los factores de reflexión, tomados de </w:t>
      </w:r>
      <w:r w:rsidR="00DF0883">
        <w:rPr>
          <w:sz w:val="24"/>
          <w:szCs w:val="24"/>
        </w:rPr>
        <w:t>una Tabla</w:t>
      </w:r>
      <w:r w:rsidR="00CA4212">
        <w:rPr>
          <w:sz w:val="24"/>
          <w:szCs w:val="24"/>
        </w:rPr>
        <w:t>, y que se muestran más arriba en el punto 4.1.2.</w:t>
      </w:r>
    </w:p>
    <w:p w:rsidR="000A74B9" w:rsidRDefault="005E2C02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CA4212">
        <w:rPr>
          <w:sz w:val="24"/>
          <w:szCs w:val="24"/>
        </w:rPr>
        <w:t>4.3.1.2. Curva de distribución de la luminaria</w:t>
      </w:r>
    </w:p>
    <w:p w:rsidR="00CA4212" w:rsidRDefault="00CA4212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La luminaria a emplear tiene una curva de </w:t>
      </w:r>
      <w:proofErr w:type="gramStart"/>
      <w:r>
        <w:rPr>
          <w:sz w:val="24"/>
          <w:szCs w:val="24"/>
        </w:rPr>
        <w:t xml:space="preserve">distribución </w:t>
      </w:r>
      <w:r w:rsidR="00CA6CA8">
        <w:rPr>
          <w:sz w:val="24"/>
          <w:szCs w:val="24"/>
        </w:rPr>
        <w:t>….</w:t>
      </w:r>
      <w:proofErr w:type="gramEnd"/>
    </w:p>
    <w:p w:rsidR="00CA6CA8" w:rsidRDefault="00CA6CA8">
      <w:pPr>
        <w:spacing w:after="78" w:line="240" w:lineRule="auto"/>
        <w:jc w:val="both"/>
        <w:rPr>
          <w:sz w:val="24"/>
          <w:szCs w:val="24"/>
        </w:rPr>
      </w:pPr>
    </w:p>
    <w:p w:rsidR="00CA4212" w:rsidRDefault="00CA4212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4.3.2. Lámparas</w:t>
      </w:r>
    </w:p>
    <w:p w:rsidR="00CA4212" w:rsidRDefault="00CA4212">
      <w:pPr>
        <w:spacing w:after="78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A4212" w:rsidRDefault="00CA4212">
      <w:pPr>
        <w:spacing w:after="78" w:line="240" w:lineRule="auto"/>
        <w:jc w:val="both"/>
        <w:rPr>
          <w:sz w:val="24"/>
          <w:szCs w:val="24"/>
        </w:rPr>
      </w:pPr>
    </w:p>
    <w:p w:rsidR="005E2C02" w:rsidRDefault="005E2C02">
      <w:pPr>
        <w:spacing w:after="78" w:line="240" w:lineRule="auto"/>
        <w:jc w:val="both"/>
        <w:rPr>
          <w:sz w:val="24"/>
          <w:szCs w:val="24"/>
        </w:rPr>
      </w:pPr>
    </w:p>
    <w:p w:rsidR="005E2C02" w:rsidRDefault="005E2C02">
      <w:pPr>
        <w:spacing w:after="78" w:line="240" w:lineRule="auto"/>
        <w:jc w:val="both"/>
        <w:rPr>
          <w:sz w:val="24"/>
          <w:szCs w:val="24"/>
        </w:rPr>
      </w:pPr>
    </w:p>
    <w:p w:rsidR="005E2C02" w:rsidRDefault="005E2C02">
      <w:pPr>
        <w:spacing w:after="78" w:line="240" w:lineRule="auto"/>
        <w:jc w:val="both"/>
        <w:rPr>
          <w:sz w:val="24"/>
          <w:szCs w:val="24"/>
        </w:rPr>
      </w:pPr>
    </w:p>
    <w:sectPr w:rsidR="005E2C02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E11" w:rsidRDefault="00391E11" w:rsidP="005951C6">
      <w:pPr>
        <w:spacing w:line="240" w:lineRule="auto"/>
      </w:pPr>
      <w:r>
        <w:separator/>
      </w:r>
    </w:p>
  </w:endnote>
  <w:endnote w:type="continuationSeparator" w:id="0">
    <w:p w:rsidR="00391E11" w:rsidRDefault="00391E11" w:rsidP="005951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288718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5951C6" w:rsidRPr="005951C6" w:rsidRDefault="005951C6">
            <w:pPr>
              <w:pStyle w:val="Piedepgina"/>
              <w:jc w:val="right"/>
              <w:rPr>
                <w:sz w:val="16"/>
                <w:szCs w:val="16"/>
              </w:rPr>
            </w:pPr>
            <w:r w:rsidRPr="005951C6">
              <w:rPr>
                <w:sz w:val="16"/>
                <w:szCs w:val="16"/>
                <w:lang w:val="es-ES"/>
              </w:rPr>
              <w:t xml:space="preserve">Página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PAGE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CA6CA8">
              <w:rPr>
                <w:b/>
                <w:bCs/>
                <w:noProof/>
                <w:sz w:val="16"/>
                <w:szCs w:val="16"/>
              </w:rPr>
              <w:t>1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  <w:r w:rsidRPr="005951C6">
              <w:rPr>
                <w:sz w:val="16"/>
                <w:szCs w:val="16"/>
                <w:lang w:val="es-ES"/>
              </w:rPr>
              <w:t xml:space="preserve"> de </w:t>
            </w:r>
            <w:r w:rsidRPr="005951C6">
              <w:rPr>
                <w:b/>
                <w:bCs/>
                <w:sz w:val="16"/>
                <w:szCs w:val="16"/>
              </w:rPr>
              <w:fldChar w:fldCharType="begin"/>
            </w:r>
            <w:r w:rsidRPr="005951C6">
              <w:rPr>
                <w:b/>
                <w:bCs/>
                <w:sz w:val="16"/>
                <w:szCs w:val="16"/>
              </w:rPr>
              <w:instrText>NUMPAGES</w:instrText>
            </w:r>
            <w:r w:rsidRPr="005951C6">
              <w:rPr>
                <w:b/>
                <w:bCs/>
                <w:sz w:val="16"/>
                <w:szCs w:val="16"/>
              </w:rPr>
              <w:fldChar w:fldCharType="separate"/>
            </w:r>
            <w:r w:rsidR="00CA6CA8">
              <w:rPr>
                <w:b/>
                <w:bCs/>
                <w:noProof/>
                <w:sz w:val="16"/>
                <w:szCs w:val="16"/>
              </w:rPr>
              <w:t>2</w:t>
            </w:r>
            <w:r w:rsidRPr="005951C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51C6" w:rsidRDefault="005951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E11" w:rsidRDefault="00391E11" w:rsidP="005951C6">
      <w:pPr>
        <w:spacing w:line="240" w:lineRule="auto"/>
      </w:pPr>
      <w:r>
        <w:separator/>
      </w:r>
    </w:p>
  </w:footnote>
  <w:footnote w:type="continuationSeparator" w:id="0">
    <w:p w:rsidR="00391E11" w:rsidRDefault="00391E11" w:rsidP="005951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1C6" w:rsidRPr="005951C6" w:rsidRDefault="005951C6">
    <w:pPr>
      <w:pStyle w:val="Encabezado"/>
      <w:rPr>
        <w:sz w:val="16"/>
        <w:szCs w:val="16"/>
      </w:rPr>
    </w:pPr>
    <w:r>
      <w:rPr>
        <w:sz w:val="16"/>
        <w:szCs w:val="16"/>
      </w:rPr>
      <w:t>SAN PEDRO DE JUJUY</w:t>
    </w:r>
    <w:r w:rsidRPr="005951C6">
      <w:rPr>
        <w:sz w:val="16"/>
        <w:szCs w:val="16"/>
      </w:rPr>
      <w:ptab w:relativeTo="margin" w:alignment="center" w:leader="none"/>
    </w:r>
    <w:r w:rsidRPr="005951C6">
      <w:rPr>
        <w:sz w:val="16"/>
        <w:szCs w:val="16"/>
      </w:rPr>
      <w:t>EET Nº 1 “CNEL. MANUEL ÁLVAREZ PRADO”</w:t>
    </w:r>
    <w:r w:rsidRPr="005951C6">
      <w:rPr>
        <w:sz w:val="16"/>
        <w:szCs w:val="16"/>
      </w:rPr>
      <w:ptab w:relativeTo="margin" w:alignment="right" w:leader="none"/>
    </w:r>
    <w:r w:rsidRPr="005951C6">
      <w:rPr>
        <w:sz w:val="16"/>
        <w:szCs w:val="16"/>
      </w:rPr>
      <w:t>OLIMPIADA ELECTROMEC´NICA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740D"/>
    <w:multiLevelType w:val="multilevel"/>
    <w:tmpl w:val="D59C4B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53989"/>
    <w:multiLevelType w:val="hybridMultilevel"/>
    <w:tmpl w:val="E3B89E74"/>
    <w:lvl w:ilvl="0" w:tplc="B3E6FF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74A7A"/>
    <w:multiLevelType w:val="hybridMultilevel"/>
    <w:tmpl w:val="FA2CF386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83317"/>
    <w:multiLevelType w:val="hybridMultilevel"/>
    <w:tmpl w:val="060661BE"/>
    <w:lvl w:ilvl="0" w:tplc="E9863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4F3E27"/>
    <w:multiLevelType w:val="multilevel"/>
    <w:tmpl w:val="5E5EBC9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D53E3"/>
    <w:multiLevelType w:val="hybridMultilevel"/>
    <w:tmpl w:val="580AF1F8"/>
    <w:lvl w:ilvl="0" w:tplc="0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AA540C"/>
    <w:multiLevelType w:val="multilevel"/>
    <w:tmpl w:val="10607C4E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>
    <w:nsid w:val="78424FFC"/>
    <w:multiLevelType w:val="hybridMultilevel"/>
    <w:tmpl w:val="99B88E74"/>
    <w:lvl w:ilvl="0" w:tplc="E9863A40">
      <w:numFmt w:val="bullet"/>
      <w:lvlText w:val="-"/>
      <w:lvlJc w:val="left"/>
      <w:pPr>
        <w:ind w:left="504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722F"/>
    <w:rsid w:val="0004010D"/>
    <w:rsid w:val="00040E82"/>
    <w:rsid w:val="000A74B9"/>
    <w:rsid w:val="000E5D8F"/>
    <w:rsid w:val="000F7E19"/>
    <w:rsid w:val="001422F1"/>
    <w:rsid w:val="001C0610"/>
    <w:rsid w:val="00263306"/>
    <w:rsid w:val="002837C7"/>
    <w:rsid w:val="002A3961"/>
    <w:rsid w:val="002A42C0"/>
    <w:rsid w:val="00325DF1"/>
    <w:rsid w:val="00344788"/>
    <w:rsid w:val="00351101"/>
    <w:rsid w:val="00352302"/>
    <w:rsid w:val="00391E11"/>
    <w:rsid w:val="003B156F"/>
    <w:rsid w:val="00403FA9"/>
    <w:rsid w:val="004925B7"/>
    <w:rsid w:val="00510DA1"/>
    <w:rsid w:val="005951C6"/>
    <w:rsid w:val="005B4B46"/>
    <w:rsid w:val="005E0B1B"/>
    <w:rsid w:val="005E2C02"/>
    <w:rsid w:val="00606338"/>
    <w:rsid w:val="006369C7"/>
    <w:rsid w:val="00684F00"/>
    <w:rsid w:val="006906D6"/>
    <w:rsid w:val="0069401B"/>
    <w:rsid w:val="006944E0"/>
    <w:rsid w:val="006D63A9"/>
    <w:rsid w:val="00727932"/>
    <w:rsid w:val="007416B6"/>
    <w:rsid w:val="00753EB3"/>
    <w:rsid w:val="007950D2"/>
    <w:rsid w:val="007F61FA"/>
    <w:rsid w:val="0081271A"/>
    <w:rsid w:val="0083722F"/>
    <w:rsid w:val="00887EEC"/>
    <w:rsid w:val="0089766E"/>
    <w:rsid w:val="008B2994"/>
    <w:rsid w:val="008D3671"/>
    <w:rsid w:val="008D3A73"/>
    <w:rsid w:val="008D57E5"/>
    <w:rsid w:val="008E6EC4"/>
    <w:rsid w:val="00907337"/>
    <w:rsid w:val="0099088E"/>
    <w:rsid w:val="0099225B"/>
    <w:rsid w:val="009B00B6"/>
    <w:rsid w:val="009C42B2"/>
    <w:rsid w:val="00A10E31"/>
    <w:rsid w:val="00A72A56"/>
    <w:rsid w:val="00B46DD2"/>
    <w:rsid w:val="00BC3F36"/>
    <w:rsid w:val="00CA4212"/>
    <w:rsid w:val="00CA6CA8"/>
    <w:rsid w:val="00CB3188"/>
    <w:rsid w:val="00CE171A"/>
    <w:rsid w:val="00DA5BB5"/>
    <w:rsid w:val="00DF0883"/>
    <w:rsid w:val="00E43E58"/>
    <w:rsid w:val="00EC4127"/>
    <w:rsid w:val="00EC7779"/>
    <w:rsid w:val="00FB30EC"/>
    <w:rsid w:val="00FF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B31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C6"/>
  </w:style>
  <w:style w:type="paragraph" w:styleId="Piedepgina">
    <w:name w:val="footer"/>
    <w:basedOn w:val="Normal"/>
    <w:link w:val="PiedepginaCar"/>
    <w:uiPriority w:val="99"/>
    <w:unhideWhenUsed/>
    <w:rsid w:val="005951C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C6"/>
  </w:style>
  <w:style w:type="paragraph" w:styleId="Textodeglobo">
    <w:name w:val="Balloon Text"/>
    <w:basedOn w:val="Normal"/>
    <w:link w:val="TextodegloboCar"/>
    <w:uiPriority w:val="99"/>
    <w:semiHidden/>
    <w:unhideWhenUsed/>
    <w:rsid w:val="005951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1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4F00"/>
    <w:pPr>
      <w:spacing w:line="240" w:lineRule="auto"/>
    </w:pPr>
  </w:style>
  <w:style w:type="character" w:styleId="Hipervnculo">
    <w:name w:val="Hyperlink"/>
    <w:basedOn w:val="Fuentedeprrafopredeter"/>
    <w:uiPriority w:val="99"/>
    <w:unhideWhenUsed/>
    <w:rsid w:val="00B46DD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906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PcIntel</dc:creator>
  <cp:lastModifiedBy>ING. ROQUE EDUARDO RIVERO</cp:lastModifiedBy>
  <cp:revision>9</cp:revision>
  <dcterms:created xsi:type="dcterms:W3CDTF">2021-09-17T14:15:00Z</dcterms:created>
  <dcterms:modified xsi:type="dcterms:W3CDTF">2021-09-28T01:48:00Z</dcterms:modified>
</cp:coreProperties>
</file>